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w:t>
      </w:r>
      <w:r w:rsidR="008456AB">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AA5E49">
        <w:rPr>
          <w:rFonts w:eastAsia="新細明體" w:cs="Arial"/>
          <w:bCs/>
          <w:noProof w:val="0"/>
          <w:sz w:val="24"/>
          <w:lang w:val="en-GB" w:eastAsia="zh-TW"/>
        </w:rPr>
        <w:t>6806</w:t>
      </w:r>
      <w:bookmarkStart w:id="1" w:name="_GoBack"/>
      <w:bookmarkEnd w:id="1"/>
    </w:p>
    <w:p w:rsidR="00B945C1" w:rsidRPr="0004564C" w:rsidRDefault="008456AB" w:rsidP="007B1761">
      <w:pPr>
        <w:pStyle w:val="Header"/>
        <w:tabs>
          <w:tab w:val="right" w:pos="9639"/>
        </w:tabs>
        <w:spacing w:after="120"/>
        <w:rPr>
          <w:rFonts w:eastAsia="新細明體" w:cs="Arial"/>
          <w:sz w:val="24"/>
          <w:lang w:eastAsia="zh-TW"/>
        </w:rPr>
      </w:pPr>
      <w:r>
        <w:rPr>
          <w:rFonts w:eastAsia="新細明體" w:cs="Arial"/>
          <w:sz w:val="24"/>
          <w:lang w:val="en-GB" w:eastAsia="zh-TW"/>
        </w:rPr>
        <w:t>Busan</w:t>
      </w:r>
      <w:r w:rsidR="00630A8D">
        <w:rPr>
          <w:rFonts w:eastAsia="新細明體" w:cs="Arial"/>
          <w:sz w:val="24"/>
          <w:lang w:val="en-GB" w:eastAsia="zh-TW"/>
        </w:rPr>
        <w:t xml:space="preserve">, </w:t>
      </w:r>
      <w:r>
        <w:rPr>
          <w:rFonts w:eastAsia="新細明體" w:cs="Arial"/>
          <w:sz w:val="24"/>
          <w:lang w:val="en-GB" w:eastAsia="zh-TW"/>
        </w:rPr>
        <w:t>Korea</w:t>
      </w:r>
      <w:r w:rsidR="00A81907">
        <w:rPr>
          <w:rFonts w:eastAsia="新細明體" w:cs="Arial"/>
          <w:sz w:val="24"/>
          <w:lang w:val="en-GB" w:eastAsia="zh-TW"/>
        </w:rPr>
        <w:t xml:space="preserve">, </w:t>
      </w:r>
      <w:r>
        <w:rPr>
          <w:rFonts w:eastAsia="新細明體" w:cs="Arial"/>
          <w:sz w:val="24"/>
          <w:lang w:val="en-GB" w:eastAsia="zh-TW"/>
        </w:rPr>
        <w:t>21</w:t>
      </w:r>
      <w:r w:rsidRPr="008456AB">
        <w:rPr>
          <w:rFonts w:eastAsia="新細明體" w:cs="Arial"/>
          <w:sz w:val="24"/>
          <w:vertAlign w:val="superscript"/>
          <w:lang w:val="en-GB" w:eastAsia="zh-TW"/>
        </w:rPr>
        <w:t>st</w:t>
      </w:r>
      <w:r>
        <w:rPr>
          <w:rFonts w:eastAsia="新細明體" w:cs="Arial"/>
          <w:sz w:val="24"/>
          <w:lang w:val="en-GB" w:eastAsia="zh-TW"/>
        </w:rPr>
        <w:t xml:space="preserve"> May</w:t>
      </w:r>
      <w:r w:rsidR="00574753">
        <w:rPr>
          <w:rFonts w:eastAsia="新細明體" w:cs="Arial"/>
          <w:sz w:val="24"/>
          <w:lang w:val="en-GB" w:eastAsia="zh-TW"/>
        </w:rPr>
        <w:t xml:space="preserve"> – </w:t>
      </w:r>
      <w:r w:rsidR="00630A8D">
        <w:rPr>
          <w:rFonts w:eastAsia="新細明體" w:cs="Arial"/>
          <w:sz w:val="24"/>
          <w:lang w:val="en-GB" w:eastAsia="zh-TW"/>
        </w:rPr>
        <w:t>2</w:t>
      </w:r>
      <w:r>
        <w:rPr>
          <w:rFonts w:eastAsia="新細明體" w:cs="Arial"/>
          <w:sz w:val="24"/>
          <w:lang w:val="en-GB" w:eastAsia="zh-TW"/>
        </w:rPr>
        <w:t>5</w:t>
      </w:r>
      <w:r w:rsidR="0050793E" w:rsidRPr="0050793E">
        <w:rPr>
          <w:rFonts w:eastAsia="新細明體" w:cs="Arial"/>
          <w:sz w:val="24"/>
          <w:vertAlign w:val="superscript"/>
          <w:lang w:val="en-GB" w:eastAsia="zh-TW"/>
        </w:rPr>
        <w:t>th</w:t>
      </w:r>
      <w:r w:rsidR="0050793E">
        <w:rPr>
          <w:rFonts w:eastAsia="新細明體" w:cs="Arial"/>
          <w:sz w:val="24"/>
          <w:lang w:val="en-GB" w:eastAsia="zh-TW"/>
        </w:rPr>
        <w:t xml:space="preserve"> </w:t>
      </w:r>
      <w:r>
        <w:rPr>
          <w:rFonts w:eastAsia="新細明體" w:cs="Arial"/>
          <w:sz w:val="24"/>
          <w:lang w:val="en-GB" w:eastAsia="zh-TW"/>
        </w:rPr>
        <w:t>May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7B7496" w:rsidRDefault="00D73518" w:rsidP="00D64489">
      <w:pPr>
        <w:pStyle w:val="Header"/>
        <w:rPr>
          <w:bCs/>
          <w:noProof w:val="0"/>
          <w:sz w:val="24"/>
          <w:lang w:val="en-GB"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DC4ABC">
        <w:rPr>
          <w:rFonts w:cs="Arial"/>
          <w:b/>
          <w:bCs/>
          <w:sz w:val="24"/>
        </w:rPr>
        <w:t>1.</w:t>
      </w:r>
      <w:r w:rsidR="0054435A">
        <w:rPr>
          <w:rFonts w:cs="Arial"/>
          <w:b/>
          <w:bCs/>
          <w:sz w:val="24"/>
        </w:rPr>
        <w:t>2.3.6</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54435A">
        <w:rPr>
          <w:rFonts w:ascii="Arial" w:hAnsi="Arial" w:cs="Arial"/>
          <w:b/>
          <w:bCs/>
          <w:szCs w:val="24"/>
        </w:rPr>
        <w:t>TRS</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F34B49" w:rsidRDefault="008A46A3" w:rsidP="00D64489">
      <w:pPr>
        <w:spacing w:after="0" w:line="240" w:lineRule="auto"/>
        <w:jc w:val="both"/>
        <w:rPr>
          <w:lang w:val="en-GB" w:eastAsia="en-US"/>
        </w:rPr>
      </w:pPr>
      <w:r>
        <w:rPr>
          <w:lang w:val="en-GB" w:eastAsia="en-US"/>
        </w:rPr>
        <w:t xml:space="preserve">In this contribution, </w:t>
      </w:r>
      <w:bookmarkStart w:id="4" w:name="OLE_LINK15"/>
      <w:bookmarkStart w:id="5" w:name="OLE_LINK16"/>
      <w:bookmarkStart w:id="6" w:name="OLE_LINK21"/>
      <w:bookmarkStart w:id="7" w:name="OLE_LINK22"/>
      <w:bookmarkStart w:id="8" w:name="OLE_LINK23"/>
      <w:bookmarkStart w:id="9" w:name="OLE_LINK11"/>
      <w:bookmarkStart w:id="10" w:name="OLE_LINK12"/>
      <w:r w:rsidR="0049698D">
        <w:rPr>
          <w:lang w:val="en-GB" w:eastAsia="en-US"/>
        </w:rPr>
        <w:t xml:space="preserve">we provide our </w:t>
      </w:r>
      <w:r w:rsidR="00AF7745">
        <w:rPr>
          <w:lang w:val="en-GB" w:eastAsia="en-US"/>
        </w:rPr>
        <w:t xml:space="preserve">view </w:t>
      </w:r>
      <w:r w:rsidR="00B03D03">
        <w:rPr>
          <w:lang w:val="en-GB" w:eastAsia="en-US"/>
        </w:rPr>
        <w:t xml:space="preserve">for </w:t>
      </w:r>
      <w:r w:rsidR="005B05FB">
        <w:rPr>
          <w:lang w:val="en-GB" w:eastAsia="en-US"/>
        </w:rPr>
        <w:t>the remaining issue</w:t>
      </w:r>
      <w:r w:rsidR="00B03D03">
        <w:rPr>
          <w:lang w:val="en-GB" w:eastAsia="en-US"/>
        </w:rPr>
        <w:t>s</w:t>
      </w:r>
      <w:r w:rsidR="005B05FB">
        <w:rPr>
          <w:lang w:val="en-GB" w:eastAsia="en-US"/>
        </w:rPr>
        <w:t xml:space="preserve"> o</w:t>
      </w:r>
      <w:r w:rsidR="007B1761">
        <w:rPr>
          <w:lang w:val="en-GB" w:eastAsia="en-US"/>
        </w:rPr>
        <w:t>n</w:t>
      </w:r>
      <w:r w:rsidR="005B05FB">
        <w:rPr>
          <w:lang w:val="en-GB" w:eastAsia="en-US"/>
        </w:rPr>
        <w:t xml:space="preserve"> </w:t>
      </w:r>
      <w:r w:rsidR="00311379">
        <w:rPr>
          <w:lang w:val="en-GB" w:eastAsia="en-US"/>
        </w:rPr>
        <w:t>TRS.</w:t>
      </w:r>
    </w:p>
    <w:p w:rsidR="00E773E9" w:rsidRDefault="00E773E9" w:rsidP="00D64489">
      <w:pPr>
        <w:spacing w:after="0" w:line="240" w:lineRule="auto"/>
        <w:jc w:val="both"/>
        <w:rPr>
          <w:lang w:val="en-GB"/>
        </w:rPr>
      </w:pPr>
    </w:p>
    <w:p w:rsidR="00E773E9" w:rsidRDefault="00FC6F7E" w:rsidP="00E62F00">
      <w:pPr>
        <w:pStyle w:val="Heading1"/>
        <w:numPr>
          <w:ilvl w:val="0"/>
          <w:numId w:val="1"/>
        </w:numPr>
        <w:spacing w:before="0" w:after="120"/>
        <w:ind w:left="490" w:hanging="490"/>
        <w:rPr>
          <w:sz w:val="32"/>
          <w:szCs w:val="32"/>
        </w:rPr>
      </w:pPr>
      <w:r>
        <w:rPr>
          <w:sz w:val="32"/>
          <w:szCs w:val="32"/>
        </w:rPr>
        <w:t>Issues</w:t>
      </w:r>
    </w:p>
    <w:p w:rsidR="00F241CB" w:rsidRDefault="00F241CB" w:rsidP="00F241CB">
      <w:pPr>
        <w:pStyle w:val="Heading2"/>
        <w:spacing w:before="0" w:after="120"/>
        <w:ind w:left="1138" w:hanging="1138"/>
        <w:rPr>
          <w:sz w:val="28"/>
          <w:szCs w:val="28"/>
        </w:rPr>
      </w:pPr>
      <w:r w:rsidRPr="00F241CB">
        <w:rPr>
          <w:sz w:val="28"/>
          <w:szCs w:val="28"/>
        </w:rPr>
        <w:t>2.</w:t>
      </w:r>
      <w:r w:rsidR="00AF7745">
        <w:rPr>
          <w:sz w:val="28"/>
          <w:szCs w:val="28"/>
        </w:rPr>
        <w:t>1</w:t>
      </w:r>
      <w:r w:rsidRPr="00F241CB">
        <w:rPr>
          <w:sz w:val="28"/>
          <w:szCs w:val="28"/>
        </w:rPr>
        <w:t xml:space="preserve"> Aperiodic TRS</w:t>
      </w:r>
    </w:p>
    <w:p w:rsidR="00390259" w:rsidRDefault="006C09AD" w:rsidP="00390259">
      <w:pPr>
        <w:spacing w:after="0"/>
        <w:jc w:val="both"/>
        <w:rPr>
          <w:lang w:val="en-GB" w:eastAsia="en-US"/>
        </w:rPr>
      </w:pPr>
      <w:r>
        <w:rPr>
          <w:lang w:val="en-GB" w:eastAsia="en-US"/>
        </w:rPr>
        <w:t>Aperiodic TRS is agreed to be supported in Rel-15 with the re</w:t>
      </w:r>
      <w:r w:rsidR="00390259">
        <w:rPr>
          <w:lang w:val="en-GB" w:eastAsia="en-US"/>
        </w:rPr>
        <w:t>striction on being used in FR2. The association between periodic TRS and aperiodic TRS is also established in terms of QCL, where source RS is periodic TRS and target RS is aperiodic TRS.</w:t>
      </w:r>
    </w:p>
    <w:p w:rsidR="00390259" w:rsidRDefault="00390259" w:rsidP="00390259">
      <w:pPr>
        <w:spacing w:after="0"/>
        <w:jc w:val="both"/>
        <w:rPr>
          <w:lang w:val="en-GB" w:eastAsia="en-US"/>
        </w:rPr>
      </w:pPr>
    </w:p>
    <w:p w:rsidR="00390259" w:rsidRDefault="00390259" w:rsidP="00390259">
      <w:pPr>
        <w:spacing w:after="0"/>
        <w:jc w:val="both"/>
        <w:rPr>
          <w:lang w:val="en-GB" w:eastAsia="en-US"/>
        </w:rPr>
      </w:pPr>
      <w:r>
        <w:rPr>
          <w:lang w:val="en-GB" w:eastAsia="en-US"/>
        </w:rPr>
        <w:t>There is issue on whether the symbol position and subcarrier location should be the same between aperiodic TRS, a</w:t>
      </w:r>
      <w:r w:rsidR="007C44F5">
        <w:rPr>
          <w:lang w:val="en-GB" w:eastAsia="en-US"/>
        </w:rPr>
        <w:t>nd the associated periodic TRS.</w:t>
      </w:r>
    </w:p>
    <w:p w:rsidR="007C44F5" w:rsidRDefault="007C44F5" w:rsidP="00390259">
      <w:pPr>
        <w:spacing w:after="0"/>
        <w:jc w:val="both"/>
        <w:rPr>
          <w:lang w:val="en-GB" w:eastAsia="en-US"/>
        </w:rPr>
      </w:pPr>
    </w:p>
    <w:p w:rsidR="007C44F5" w:rsidRDefault="007C44F5" w:rsidP="00390259">
      <w:pPr>
        <w:spacing w:after="0"/>
        <w:jc w:val="both"/>
        <w:rPr>
          <w:lang w:val="en-GB" w:eastAsia="en-US"/>
        </w:rPr>
      </w:pPr>
      <w:r>
        <w:rPr>
          <w:lang w:val="en-GB" w:eastAsia="en-US"/>
        </w:rPr>
        <w:t>The flexibility in this way doesn’t bring any significant benefit. From UE implementation, the RE demapping needs to be verified for all cases, which is viewed as a burden.</w:t>
      </w:r>
    </w:p>
    <w:p w:rsidR="007C44F5" w:rsidRDefault="007C44F5" w:rsidP="00390259">
      <w:pPr>
        <w:spacing w:after="0"/>
        <w:jc w:val="both"/>
        <w:rPr>
          <w:lang w:val="en-GB" w:eastAsia="en-US"/>
        </w:rPr>
      </w:pPr>
    </w:p>
    <w:p w:rsidR="007C44F5" w:rsidRDefault="007C44F5" w:rsidP="00390259">
      <w:pPr>
        <w:spacing w:after="0"/>
        <w:jc w:val="both"/>
        <w:rPr>
          <w:lang w:val="en-GB" w:eastAsia="en-US"/>
        </w:rPr>
      </w:pPr>
      <w:r>
        <w:rPr>
          <w:lang w:val="en-GB" w:eastAsia="en-US"/>
        </w:rPr>
        <w:t>The UE may estimate the channel impulse response by either IFFTing back to time domain, or computing the correlation between subcarriers. The different subcarrier location between periodic TRS and aperiodic TRS may more or less influence the estimation. So to avoid such uncertainty, we propose that symbol position and subcarrier location should be the same between aperiodic TRS and the associated periodic TRS.</w:t>
      </w:r>
    </w:p>
    <w:p w:rsidR="006C09AD" w:rsidRPr="006C09AD" w:rsidRDefault="006C09AD" w:rsidP="006C09AD">
      <w:pPr>
        <w:spacing w:after="0"/>
        <w:rPr>
          <w:lang w:val="en-GB" w:eastAsia="en-US"/>
        </w:rPr>
      </w:pPr>
    </w:p>
    <w:tbl>
      <w:tblPr>
        <w:tblStyle w:val="TableGrid"/>
        <w:tblW w:w="0" w:type="auto"/>
        <w:tblLook w:val="04A0" w:firstRow="1" w:lastRow="0" w:firstColumn="1" w:lastColumn="0" w:noHBand="0" w:noVBand="1"/>
      </w:tblPr>
      <w:tblGrid>
        <w:gridCol w:w="9629"/>
      </w:tblGrid>
      <w:tr w:rsidR="003D1503" w:rsidTr="003D1503">
        <w:tc>
          <w:tcPr>
            <w:tcW w:w="9629" w:type="dxa"/>
          </w:tcPr>
          <w:p w:rsidR="003D1503" w:rsidRPr="003D1503" w:rsidRDefault="003D1503" w:rsidP="003D1503">
            <w:pPr>
              <w:rPr>
                <w:rFonts w:ascii="Times New Roman" w:hAnsi="Times New Roman" w:cs="Times New Roman"/>
                <w:b/>
                <w:sz w:val="16"/>
                <w:szCs w:val="16"/>
                <w:lang w:eastAsia="x-none"/>
              </w:rPr>
            </w:pPr>
            <w:r w:rsidRPr="003D1503">
              <w:rPr>
                <w:rFonts w:ascii="Times New Roman" w:hAnsi="Times New Roman" w:cs="Times New Roman"/>
                <w:b/>
                <w:sz w:val="16"/>
                <w:szCs w:val="16"/>
                <w:highlight w:val="green"/>
                <w:lang w:eastAsia="x-none"/>
              </w:rPr>
              <w:t>Agreement:</w:t>
            </w:r>
          </w:p>
          <w:p w:rsidR="003D1503" w:rsidRPr="003D1503" w:rsidRDefault="003D1503" w:rsidP="003D1503">
            <w:pPr>
              <w:numPr>
                <w:ilvl w:val="0"/>
                <w:numId w:val="20"/>
              </w:numPr>
              <w:spacing w:after="0" w:line="240" w:lineRule="auto"/>
              <w:jc w:val="both"/>
              <w:rPr>
                <w:rFonts w:ascii="Times New Roman" w:eastAsia="SimSun" w:hAnsi="Times New Roman" w:cs="Times New Roman"/>
                <w:sz w:val="16"/>
                <w:szCs w:val="16"/>
              </w:rPr>
            </w:pPr>
            <w:r w:rsidRPr="003D1503">
              <w:rPr>
                <w:rFonts w:ascii="Times New Roman" w:hAnsi="Times New Roman" w:cs="Times New Roman"/>
                <w:sz w:val="16"/>
                <w:szCs w:val="16"/>
              </w:rPr>
              <w:t>Rel-15 supports aperiodic TRS for FR2 as an optional UE feature with UE capability signalling</w:t>
            </w:r>
          </w:p>
          <w:p w:rsidR="003D1503" w:rsidRPr="003D1503" w:rsidRDefault="003D1503" w:rsidP="003D1503">
            <w:pPr>
              <w:numPr>
                <w:ilvl w:val="1"/>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w:t>
            </w:r>
            <w:r w:rsidRPr="003D1503">
              <w:rPr>
                <w:rFonts w:ascii="Times New Roman" w:hAnsi="Times New Roman" w:cs="Times New Roman"/>
                <w:sz w:val="16"/>
                <w:szCs w:val="16"/>
                <w:highlight w:val="darkYellow"/>
              </w:rPr>
              <w:t>Working assumption</w:t>
            </w:r>
            <w:r w:rsidRPr="003D1503">
              <w:rPr>
                <w:rFonts w:ascii="Times New Roman" w:hAnsi="Times New Roman" w:cs="Times New Roman"/>
                <w:sz w:val="16"/>
                <w:szCs w:val="16"/>
              </w:rPr>
              <w:t xml:space="preserve">) A UE does not expect to be triggered to aperiodic TRS unless it has been configured with </w:t>
            </w:r>
            <w:r w:rsidRPr="003D1503">
              <w:rPr>
                <w:rFonts w:ascii="Times New Roman" w:hAnsi="Times New Roman" w:cs="Times New Roman"/>
                <w:color w:val="FF0000"/>
                <w:sz w:val="16"/>
                <w:szCs w:val="16"/>
              </w:rPr>
              <w:t>an associated</w:t>
            </w:r>
            <w:r w:rsidRPr="003D1503">
              <w:rPr>
                <w:rFonts w:ascii="Times New Roman" w:hAnsi="Times New Roman" w:cs="Times New Roman"/>
                <w:sz w:val="16"/>
                <w:szCs w:val="16"/>
              </w:rPr>
              <w:t xml:space="preserve"> periodic TRS </w:t>
            </w:r>
            <w:r w:rsidRPr="003D1503">
              <w:rPr>
                <w:rFonts w:ascii="Times New Roman" w:hAnsi="Times New Roman" w:cs="Times New Roman"/>
                <w:color w:val="FF0000"/>
                <w:sz w:val="16"/>
                <w:szCs w:val="16"/>
              </w:rPr>
              <w:t>with the same burst length X</w:t>
            </w:r>
            <w:r w:rsidRPr="003D1503">
              <w:rPr>
                <w:rFonts w:ascii="Times New Roman" w:hAnsi="Times New Roman" w:cs="Times New Roman"/>
                <w:sz w:val="16"/>
                <w:szCs w:val="16"/>
              </w:rPr>
              <w:t xml:space="preserve"> slots on the same BWP</w:t>
            </w:r>
          </w:p>
          <w:p w:rsidR="003D1503" w:rsidRPr="003D1503" w:rsidRDefault="003D1503" w:rsidP="003D1503">
            <w:pPr>
              <w:numPr>
                <w:ilvl w:val="2"/>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 xml:space="preserve">The aperiodic TRS and the associated periodic TRS has the </w:t>
            </w:r>
            <w:r w:rsidRPr="003D1503">
              <w:rPr>
                <w:rFonts w:ascii="Times New Roman" w:hAnsi="Times New Roman" w:cs="Times New Roman"/>
                <w:color w:val="FF0000"/>
                <w:sz w:val="16"/>
                <w:szCs w:val="16"/>
              </w:rPr>
              <w:t xml:space="preserve">same BW, [same symbol position, same subcarrier location] and </w:t>
            </w:r>
            <w:r w:rsidRPr="003D1503">
              <w:rPr>
                <w:rFonts w:ascii="Times New Roman" w:hAnsi="Times New Roman" w:cs="Times New Roman"/>
                <w:sz w:val="16"/>
                <w:szCs w:val="16"/>
              </w:rPr>
              <w:t>the aperiodic TRS will be QCL type A+D (if applicable) with this periodic TRS</w:t>
            </w:r>
          </w:p>
          <w:p w:rsidR="003D1503" w:rsidRPr="003D1503" w:rsidRDefault="003D1503" w:rsidP="003D1503">
            <w:pPr>
              <w:numPr>
                <w:ilvl w:val="2"/>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FFS on DCI trigger timing for SCell activation and BWP switching</w:t>
            </w:r>
          </w:p>
          <w:p w:rsidR="003D1503" w:rsidRPr="003D1503" w:rsidRDefault="003D1503" w:rsidP="003D1503">
            <w:pPr>
              <w:numPr>
                <w:ilvl w:val="2"/>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The UE does not expect the scheduling offset between DCI to the first symbol of TRS be smaller than the threshold UE reported</w:t>
            </w:r>
          </w:p>
          <w:p w:rsidR="003D1503" w:rsidRPr="003D1503" w:rsidRDefault="003D1503" w:rsidP="003D1503">
            <w:pPr>
              <w:numPr>
                <w:ilvl w:val="2"/>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 xml:space="preserve">The aperiodic TRS is triggered by UL DCI (same as CSI-RS) </w:t>
            </w:r>
          </w:p>
          <w:p w:rsidR="003D1503" w:rsidRPr="003D1503" w:rsidRDefault="003D1503" w:rsidP="003D1503">
            <w:pPr>
              <w:numPr>
                <w:ilvl w:val="0"/>
                <w:numId w:val="20"/>
              </w:numPr>
              <w:spacing w:after="0" w:line="240" w:lineRule="auto"/>
              <w:jc w:val="both"/>
              <w:rPr>
                <w:rFonts w:ascii="Times New Roman" w:hAnsi="Times New Roman" w:cs="Times New Roman"/>
                <w:sz w:val="16"/>
                <w:szCs w:val="16"/>
              </w:rPr>
            </w:pPr>
            <w:r w:rsidRPr="003D1503">
              <w:rPr>
                <w:rFonts w:ascii="Times New Roman" w:hAnsi="Times New Roman" w:cs="Times New Roman"/>
                <w:sz w:val="16"/>
                <w:szCs w:val="16"/>
              </w:rPr>
              <w:t>No new/additional RRC parameters are introduced for this feature except UE capability</w:t>
            </w:r>
          </w:p>
          <w:p w:rsidR="003D1503" w:rsidRPr="003D1503" w:rsidRDefault="003D1503" w:rsidP="003D1503">
            <w:pPr>
              <w:jc w:val="both"/>
              <w:rPr>
                <w:rFonts w:ascii="Times New Roman" w:hAnsi="Times New Roman" w:cs="Times New Roman"/>
                <w:sz w:val="16"/>
                <w:szCs w:val="16"/>
              </w:rPr>
            </w:pPr>
          </w:p>
          <w:p w:rsidR="003D1503" w:rsidRPr="003D1503" w:rsidRDefault="003D1503" w:rsidP="003D1503">
            <w:pPr>
              <w:jc w:val="both"/>
              <w:rPr>
                <w:rFonts w:ascii="Times New Roman" w:hAnsi="Times New Roman" w:cs="Times New Roman"/>
                <w:sz w:val="16"/>
                <w:szCs w:val="16"/>
              </w:rPr>
            </w:pPr>
            <w:r w:rsidRPr="003D1503">
              <w:rPr>
                <w:rFonts w:ascii="Times New Roman" w:hAnsi="Times New Roman" w:cs="Times New Roman"/>
                <w:sz w:val="16"/>
                <w:szCs w:val="16"/>
              </w:rPr>
              <w:t xml:space="preserve">Send an LS to RAN2 inform the above agreements and ask RAN2 to take into account in their work – </w:t>
            </w:r>
            <w:r w:rsidRPr="003D1503">
              <w:rPr>
                <w:rFonts w:ascii="Times New Roman" w:hAnsi="Times New Roman" w:cs="Times New Roman"/>
                <w:b/>
                <w:sz w:val="16"/>
                <w:szCs w:val="16"/>
              </w:rPr>
              <w:t>R1-1805758</w:t>
            </w:r>
            <w:r w:rsidRPr="003D1503">
              <w:rPr>
                <w:rFonts w:ascii="Times New Roman" w:hAnsi="Times New Roman" w:cs="Times New Roman"/>
                <w:sz w:val="16"/>
                <w:szCs w:val="16"/>
              </w:rPr>
              <w:t xml:space="preserve"> (Xiaoyi, ATT), which is approved with final LS in </w:t>
            </w:r>
            <w:r w:rsidRPr="003D1503">
              <w:rPr>
                <w:rFonts w:ascii="Times New Roman" w:hAnsi="Times New Roman" w:cs="Times New Roman"/>
                <w:sz w:val="16"/>
                <w:szCs w:val="16"/>
                <w:highlight w:val="green"/>
              </w:rPr>
              <w:t>R1-1805763</w:t>
            </w:r>
          </w:p>
          <w:p w:rsidR="003D1503" w:rsidRPr="003D1503" w:rsidRDefault="003D1503" w:rsidP="003D1503">
            <w:pPr>
              <w:jc w:val="both"/>
              <w:rPr>
                <w:rFonts w:ascii="Times New Roman" w:hAnsi="Times New Roman" w:cs="Times New Roman"/>
                <w:sz w:val="16"/>
                <w:szCs w:val="16"/>
              </w:rPr>
            </w:pPr>
            <w:r w:rsidRPr="003D1503">
              <w:rPr>
                <w:rFonts w:ascii="Times New Roman" w:hAnsi="Times New Roman" w:cs="Times New Roman"/>
                <w:sz w:val="16"/>
                <w:szCs w:val="16"/>
              </w:rPr>
              <w:t>The above optional UE feature is to be included in the current UE feature spreadsheet for RAN1#93</w:t>
            </w:r>
          </w:p>
          <w:p w:rsidR="003D1503" w:rsidRPr="003D1503" w:rsidRDefault="003D1503" w:rsidP="00FF1EB5">
            <w:pPr>
              <w:spacing w:after="0"/>
              <w:jc w:val="both"/>
              <w:rPr>
                <w:rFonts w:ascii="Times New Roman" w:hAnsi="Times New Roman" w:cs="Times New Roman"/>
                <w:sz w:val="16"/>
                <w:szCs w:val="16"/>
                <w:lang w:eastAsia="en-US"/>
              </w:rPr>
            </w:pPr>
          </w:p>
        </w:tc>
      </w:tr>
    </w:tbl>
    <w:p w:rsidR="00FF1EB5" w:rsidRDefault="00FF1EB5" w:rsidP="00FF1EB5">
      <w:pPr>
        <w:spacing w:after="0"/>
        <w:jc w:val="both"/>
        <w:rPr>
          <w:lang w:val="en-GB" w:eastAsia="en-US"/>
        </w:rPr>
      </w:pPr>
    </w:p>
    <w:p w:rsidR="00F241CB" w:rsidRDefault="00F241CB" w:rsidP="00F241CB">
      <w:pPr>
        <w:rPr>
          <w:lang w:val="en-GB" w:eastAsia="en-US"/>
        </w:rPr>
      </w:pPr>
    </w:p>
    <w:bookmarkEnd w:id="4"/>
    <w:bookmarkEnd w:id="5"/>
    <w:bookmarkEnd w:id="6"/>
    <w:bookmarkEnd w:id="7"/>
    <w:bookmarkEnd w:id="8"/>
    <w:bookmarkEnd w:id="9"/>
    <w:bookmarkEnd w:id="10"/>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F2746F" w:rsidRDefault="00AF7745" w:rsidP="00AF7745">
      <w:pPr>
        <w:spacing w:after="0"/>
        <w:jc w:val="both"/>
        <w:rPr>
          <w:lang w:val="en-GB" w:eastAsia="en-US"/>
        </w:rPr>
      </w:pPr>
      <w:r>
        <w:rPr>
          <w:b/>
          <w:lang w:val="en-GB" w:eastAsia="en-US"/>
        </w:rPr>
        <w:t>Observation 1</w:t>
      </w:r>
      <w:r>
        <w:rPr>
          <w:lang w:val="en-GB" w:eastAsia="en-US"/>
        </w:rPr>
        <w:t>: There is issue on whether the symbol position and subcarrier location should be the same between aperiodic TRS, and the associated periodic TRS. The flexibility in this way doesn’t bring any significant benefit. The UE may estimate the channel impulse response by either IFFTing back to time domain, or computing the correlation between subcarriers. The different subcarrier location between periodic TRS and aperiodic TRS may more or less influence the estimation</w:t>
      </w:r>
    </w:p>
    <w:p w:rsidR="00063E5B" w:rsidRDefault="00063E5B" w:rsidP="00063E5B">
      <w:pPr>
        <w:spacing w:after="0" w:line="240" w:lineRule="auto"/>
        <w:jc w:val="both"/>
        <w:rPr>
          <w:b/>
          <w:lang w:val="en-GB" w:eastAsia="en-US"/>
        </w:rPr>
      </w:pPr>
    </w:p>
    <w:p w:rsidR="00063E5B" w:rsidRDefault="00AF7745" w:rsidP="00063E5B">
      <w:pPr>
        <w:spacing w:after="0" w:line="240" w:lineRule="auto"/>
        <w:jc w:val="both"/>
        <w:rPr>
          <w:lang w:val="en-GB" w:eastAsia="en-US"/>
        </w:rPr>
      </w:pPr>
      <w:r w:rsidRPr="00AF7745">
        <w:rPr>
          <w:b/>
          <w:lang w:val="en-GB" w:eastAsia="en-US"/>
        </w:rPr>
        <w:t>Proposal 1</w:t>
      </w:r>
      <w:r>
        <w:rPr>
          <w:lang w:val="en-GB" w:eastAsia="en-US"/>
        </w:rPr>
        <w:t>: Symbol position and subcarrier location should be the same between aperiodic TRS and the associated periodic TRS</w:t>
      </w:r>
    </w:p>
    <w:sectPr w:rsidR="00063E5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3EB" w:rsidRDefault="005E23EB">
      <w:r>
        <w:separator/>
      </w:r>
    </w:p>
  </w:endnote>
  <w:endnote w:type="continuationSeparator" w:id="0">
    <w:p w:rsidR="005E23EB" w:rsidRDefault="005E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3EB" w:rsidRDefault="005E23EB">
      <w:r>
        <w:separator/>
      </w:r>
    </w:p>
  </w:footnote>
  <w:footnote w:type="continuationSeparator" w:id="0">
    <w:p w:rsidR="005E23EB" w:rsidRDefault="005E23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15pt;height:13.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9"/>
  </w:num>
  <w:num w:numId="5">
    <w:abstractNumId w:val="15"/>
  </w:num>
  <w:num w:numId="6">
    <w:abstractNumId w:val="3"/>
  </w:num>
  <w:num w:numId="7">
    <w:abstractNumId w:val="11"/>
  </w:num>
  <w:num w:numId="8">
    <w:abstractNumId w:val="13"/>
  </w:num>
  <w:num w:numId="9">
    <w:abstractNumId w:val="0"/>
  </w:num>
  <w:num w:numId="10">
    <w:abstractNumId w:val="7"/>
  </w:num>
  <w:num w:numId="11">
    <w:abstractNumId w:val="16"/>
  </w:num>
  <w:num w:numId="12">
    <w:abstractNumId w:val="12"/>
  </w:num>
  <w:num w:numId="13">
    <w:abstractNumId w:val="5"/>
  </w:num>
  <w:num w:numId="14">
    <w:abstractNumId w:val="4"/>
  </w:num>
  <w:num w:numId="15">
    <w:abstractNumId w:val="18"/>
  </w:num>
  <w:num w:numId="16">
    <w:abstractNumId w:val="6"/>
  </w:num>
  <w:num w:numId="17">
    <w:abstractNumId w:val="1"/>
  </w:num>
  <w:num w:numId="18">
    <w:abstractNumId w:val="17"/>
  </w:num>
  <w:num w:numId="19">
    <w:abstractNumId w:val="9"/>
  </w:num>
  <w:num w:numId="2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FA"/>
    <w:rsid w:val="0027685F"/>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3C"/>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81"/>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6AB"/>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259"/>
    <w:rsid w:val="00AF45D0"/>
    <w:rsid w:val="00AF45F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6A7"/>
    <w:rsid w:val="00D079DE"/>
    <w:rsid w:val="00D07CF4"/>
    <w:rsid w:val="00D1029C"/>
    <w:rsid w:val="00D10659"/>
    <w:rsid w:val="00D10CC6"/>
    <w:rsid w:val="00D118A1"/>
    <w:rsid w:val="00D11FC2"/>
    <w:rsid w:val="00D122F0"/>
    <w:rsid w:val="00D12390"/>
    <w:rsid w:val="00D12843"/>
    <w:rsid w:val="00D12BB1"/>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88F"/>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BD7"/>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2CE"/>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1EB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E4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A5E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5E4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746B6-D1E1-43A3-B3F9-CA64D395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2018-05-12T02:37:00Z</dcterms:created>
  <dcterms:modified xsi:type="dcterms:W3CDTF">2018-05-12T02:37:00Z</dcterms:modified>
</cp:coreProperties>
</file>